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before="40" w:line="259" w:lineRule="auto"/>
        <w:ind w:right="0" w:firstLine="360"/>
        <w:jc w:val="center"/>
        <w:rPr>
          <w:color w:val="263e93"/>
          <w:sz w:val="28"/>
          <w:szCs w:val="28"/>
        </w:rPr>
      </w:pPr>
      <w:bookmarkStart w:colFirst="0" w:colLast="0" w:name="_heading=h.p13dt8qyua5m" w:id="0"/>
      <w:bookmarkEnd w:id="0"/>
      <w:r w:rsidDel="00000000" w:rsidR="00000000" w:rsidRPr="00000000">
        <w:rPr>
          <w:color w:val="263e93"/>
          <w:sz w:val="28"/>
          <w:szCs w:val="28"/>
          <w:rtl w:val="0"/>
        </w:rPr>
        <w:t xml:space="preserve">Annex G</w:t>
      </w:r>
    </w:p>
    <w:p w:rsidR="00000000" w:rsidDel="00000000" w:rsidP="00000000" w:rsidRDefault="00000000" w:rsidRPr="00000000" w14:paraId="00000002">
      <w:pPr>
        <w:pStyle w:val="Title"/>
        <w:spacing w:after="60" w:before="200" w:line="276" w:lineRule="auto"/>
        <w:ind w:right="0"/>
        <w:jc w:val="center"/>
        <w:rPr>
          <w:b w:val="0"/>
          <w:color w:val="263e93"/>
          <w:sz w:val="22"/>
          <w:szCs w:val="22"/>
        </w:rPr>
      </w:pPr>
      <w:bookmarkStart w:colFirst="0" w:colLast="0" w:name="_heading=h.c1h3jeqi9ppu" w:id="1"/>
      <w:bookmarkEnd w:id="1"/>
      <w:r w:rsidDel="00000000" w:rsidR="00000000" w:rsidRPr="00000000">
        <w:rPr>
          <w:b w:val="0"/>
          <w:color w:val="263e93"/>
          <w:sz w:val="22"/>
          <w:szCs w:val="22"/>
          <w:rtl w:val="0"/>
        </w:rPr>
        <w:t xml:space="preserve">Public Call for Applications </w:t>
      </w:r>
    </w:p>
    <w:p w:rsidR="00000000" w:rsidDel="00000000" w:rsidP="00000000" w:rsidRDefault="00000000" w:rsidRPr="00000000" w14:paraId="00000003">
      <w:pPr>
        <w:pStyle w:val="Title"/>
        <w:spacing w:after="60" w:before="200" w:line="276" w:lineRule="auto"/>
        <w:ind w:right="0"/>
        <w:jc w:val="center"/>
        <w:rPr>
          <w:b w:val="0"/>
          <w:color w:val="263e93"/>
          <w:sz w:val="22"/>
          <w:szCs w:val="22"/>
        </w:rPr>
      </w:pPr>
      <w:bookmarkStart w:colFirst="0" w:colLast="0" w:name="_heading=h.d6qbakbkw1pl" w:id="2"/>
      <w:bookmarkEnd w:id="2"/>
      <w:r w:rsidDel="00000000" w:rsidR="00000000" w:rsidRPr="00000000">
        <w:rPr>
          <w:b w:val="0"/>
          <w:color w:val="263e93"/>
          <w:sz w:val="22"/>
          <w:szCs w:val="22"/>
          <w:rtl w:val="0"/>
        </w:rPr>
        <w:t xml:space="preserve">for Development of Territorial Strategies</w:t>
      </w:r>
    </w:p>
    <w:p w:rsidR="00000000" w:rsidDel="00000000" w:rsidP="00000000" w:rsidRDefault="00000000" w:rsidRPr="00000000" w14:paraId="00000004">
      <w:pPr>
        <w:spacing w:after="240" w:lineRule="auto"/>
        <w:jc w:val="center"/>
        <w:rPr>
          <w:rFonts w:ascii="Montserrat" w:cs="Montserrat" w:eastAsia="Montserrat" w:hAnsi="Montserrat"/>
          <w:color w:val="263e93"/>
          <w:sz w:val="22"/>
          <w:szCs w:val="22"/>
        </w:rPr>
      </w:pPr>
      <w:r w:rsidDel="00000000" w:rsidR="00000000" w:rsidRPr="00000000">
        <w:rPr>
          <w:rFonts w:ascii="Montserrat" w:cs="Montserrat" w:eastAsia="Montserrat" w:hAnsi="Montserrat"/>
          <w:color w:val="263e93"/>
          <w:sz w:val="22"/>
          <w:szCs w:val="22"/>
          <w:rtl w:val="0"/>
        </w:rPr>
        <w:t xml:space="preserve">(UNOPS-EUINTEGRA-2025-CfA-001</w:t>
      </w:r>
      <w:r w:rsidDel="00000000" w:rsidR="00000000" w:rsidRPr="00000000">
        <w:rPr>
          <w:rFonts w:ascii="Montserrat" w:cs="Montserrat" w:eastAsia="Montserrat" w:hAnsi="Montserrat"/>
          <w:color w:val="263e93"/>
          <w:sz w:val="22"/>
          <w:szCs w:val="22"/>
          <w:rtl w:val="0"/>
        </w:rPr>
        <w:t xml:space="preserve">)</w:t>
      </w:r>
    </w:p>
    <w:p w:rsidR="00000000" w:rsidDel="00000000" w:rsidP="00000000" w:rsidRDefault="00000000" w:rsidRPr="00000000" w14:paraId="00000005">
      <w:pPr>
        <w:spacing w:after="240" w:lineRule="auto"/>
        <w:jc w:val="center"/>
        <w:rPr>
          <w:rFonts w:ascii="Montserrat" w:cs="Montserrat" w:eastAsia="Montserrat" w:hAnsi="Montserrat"/>
          <w:color w:val="263e93"/>
          <w:sz w:val="22"/>
          <w:szCs w:val="22"/>
        </w:rPr>
      </w:pPr>
      <w:r w:rsidDel="00000000" w:rsidR="00000000" w:rsidRPr="00000000">
        <w:rPr>
          <w:rtl w:val="0"/>
        </w:rPr>
      </w:r>
    </w:p>
    <w:p w:rsidR="00000000" w:rsidDel="00000000" w:rsidP="00000000" w:rsidRDefault="00000000" w:rsidRPr="00000000" w14:paraId="00000006">
      <w:pPr>
        <w:shd w:fill="ffffff" w:val="clear"/>
        <w:spacing w:line="240" w:lineRule="auto"/>
        <w:jc w:val="center"/>
        <w:rPr>
          <w:rFonts w:ascii="Open Sans" w:cs="Open Sans" w:eastAsia="Open Sans" w:hAnsi="Open Sans"/>
          <w:b w:val="1"/>
          <w:color w:val="263e93"/>
          <w:sz w:val="27"/>
          <w:szCs w:val="27"/>
        </w:rPr>
      </w:pPr>
      <w:bookmarkStart w:colFirst="0" w:colLast="0" w:name="_heading=h.v13miekh9z9k" w:id="3"/>
      <w:bookmarkEnd w:id="3"/>
      <w:r w:rsidDel="00000000" w:rsidR="00000000" w:rsidRPr="00000000">
        <w:rPr>
          <w:rFonts w:ascii="Open Sans" w:cs="Open Sans" w:eastAsia="Open Sans" w:hAnsi="Open Sans"/>
          <w:b w:val="1"/>
          <w:color w:val="263e93"/>
          <w:sz w:val="27"/>
          <w:szCs w:val="27"/>
          <w:rtl w:val="0"/>
        </w:rPr>
        <w:t xml:space="preserve">EU ISTD regulatory framework</w:t>
      </w:r>
    </w:p>
    <w:p w:rsidR="00000000" w:rsidDel="00000000" w:rsidP="00000000" w:rsidRDefault="00000000" w:rsidRPr="00000000" w14:paraId="00000007">
      <w:pPr>
        <w:shd w:fill="ffffff" w:val="clear"/>
        <w:spacing w:line="240" w:lineRule="auto"/>
        <w:jc w:val="center"/>
        <w:rPr>
          <w:rFonts w:ascii="Open Sans" w:cs="Open Sans" w:eastAsia="Open Sans" w:hAnsi="Open Sans"/>
          <w:b w:val="1"/>
          <w:color w:val="263e93"/>
          <w:sz w:val="27"/>
          <w:szCs w:val="27"/>
        </w:rPr>
      </w:pPr>
      <w:bookmarkStart w:colFirst="0" w:colLast="0" w:name="_heading=h.4resvgeezowk" w:id="4"/>
      <w:bookmarkEnd w:id="4"/>
      <w:r w:rsidDel="00000000" w:rsidR="00000000" w:rsidRPr="00000000">
        <w:rPr>
          <w:rtl w:val="0"/>
        </w:rPr>
      </w:r>
    </w:p>
    <w:p w:rsidR="00000000" w:rsidDel="00000000" w:rsidP="00000000" w:rsidRDefault="00000000" w:rsidRPr="00000000" w14:paraId="00000008">
      <w:pPr>
        <w:widowControl w:val="0"/>
        <w:spacing w:line="240" w:lineRule="auto"/>
        <w:ind w:left="7.9400634765625" w:firstLine="0"/>
        <w:rPr>
          <w:b w:val="1"/>
          <w:sz w:val="26"/>
          <w:szCs w:val="26"/>
        </w:rPr>
      </w:pPr>
      <w:r w:rsidDel="00000000" w:rsidR="00000000" w:rsidRPr="00000000">
        <w:rPr>
          <w:b w:val="1"/>
          <w:sz w:val="26"/>
          <w:szCs w:val="26"/>
          <w:rtl w:val="0"/>
        </w:rPr>
        <w:t xml:space="preserve">Cohesion Policy and territorial instruments - 2014-20 </w:t>
      </w:r>
    </w:p>
    <w:p w:rsidR="00000000" w:rsidDel="00000000" w:rsidP="00000000" w:rsidRDefault="00000000" w:rsidRPr="00000000" w14:paraId="00000009">
      <w:pPr>
        <w:widowControl w:val="0"/>
        <w:spacing w:before="133.179931640625" w:line="245.35637855529785" w:lineRule="auto"/>
        <w:ind w:left="14.2999267578125" w:right="86.318359375" w:firstLine="1.980133056640625"/>
        <w:rPr>
          <w:sz w:val="22"/>
          <w:szCs w:val="22"/>
        </w:rPr>
      </w:pPr>
      <w:r w:rsidDel="00000000" w:rsidR="00000000" w:rsidRPr="00000000">
        <w:rPr>
          <w:sz w:val="22"/>
          <w:szCs w:val="22"/>
          <w:rtl w:val="0"/>
        </w:rPr>
        <w:t xml:space="preserve">For the 2014-20 programming period, the European Commission introduced two new elements to its regulatory framework for Cohesion Policy: </w:t>
      </w:r>
    </w:p>
    <w:p w:rsidR="00000000" w:rsidDel="00000000" w:rsidP="00000000" w:rsidRDefault="00000000" w:rsidRPr="00000000" w14:paraId="0000000A">
      <w:pPr>
        <w:widowControl w:val="0"/>
        <w:spacing w:before="128.349609375" w:line="245.35637855529785" w:lineRule="auto"/>
        <w:ind w:left="734.2999267578125" w:right="130.13427734375" w:hanging="357.35992431640625"/>
        <w:rPr>
          <w:sz w:val="22"/>
          <w:szCs w:val="22"/>
        </w:rPr>
      </w:pPr>
      <w:r w:rsidDel="00000000" w:rsidR="00000000" w:rsidRPr="00000000">
        <w:rPr>
          <w:rFonts w:ascii="Arial" w:cs="Arial" w:eastAsia="Arial" w:hAnsi="Arial"/>
          <w:sz w:val="22"/>
          <w:szCs w:val="22"/>
          <w:rtl w:val="0"/>
        </w:rPr>
        <w:t xml:space="preserve">● </w:t>
      </w:r>
      <w:r w:rsidDel="00000000" w:rsidR="00000000" w:rsidRPr="00000000">
        <w:rPr>
          <w:sz w:val="22"/>
          <w:szCs w:val="22"/>
          <w:rtl w:val="0"/>
        </w:rPr>
        <w:t xml:space="preserve">the </w:t>
      </w:r>
      <w:r w:rsidDel="00000000" w:rsidR="00000000" w:rsidRPr="00000000">
        <w:rPr>
          <w:i w:val="1"/>
          <w:sz w:val="22"/>
          <w:szCs w:val="22"/>
          <w:rtl w:val="0"/>
        </w:rPr>
        <w:t xml:space="preserve">requirement </w:t>
      </w:r>
      <w:r w:rsidDel="00000000" w:rsidR="00000000" w:rsidRPr="00000000">
        <w:rPr>
          <w:sz w:val="22"/>
          <w:szCs w:val="22"/>
          <w:rtl w:val="0"/>
        </w:rPr>
        <w:t xml:space="preserve">to invest a minimum of 5% of European Regional Development Fund (ERDF) resources into urban areas; and </w:t>
      </w:r>
    </w:p>
    <w:p w:rsidR="00000000" w:rsidDel="00000000" w:rsidP="00000000" w:rsidRDefault="00000000" w:rsidRPr="00000000" w14:paraId="0000000B">
      <w:pPr>
        <w:widowControl w:val="0"/>
        <w:spacing w:before="8.349609375" w:line="245.35637855529785" w:lineRule="auto"/>
        <w:ind w:left="719.3400573730469" w:right="194.052734375" w:hanging="342.4000549316406"/>
        <w:rPr>
          <w:sz w:val="22"/>
          <w:szCs w:val="22"/>
        </w:rPr>
      </w:pPr>
      <w:r w:rsidDel="00000000" w:rsidR="00000000" w:rsidRPr="00000000">
        <w:rPr>
          <w:rFonts w:ascii="Arial" w:cs="Arial" w:eastAsia="Arial" w:hAnsi="Arial"/>
          <w:sz w:val="22"/>
          <w:szCs w:val="22"/>
          <w:rtl w:val="0"/>
        </w:rPr>
        <w:t xml:space="preserve">● </w:t>
      </w:r>
      <w:r w:rsidDel="00000000" w:rsidR="00000000" w:rsidRPr="00000000">
        <w:rPr>
          <w:sz w:val="22"/>
          <w:szCs w:val="22"/>
          <w:rtl w:val="0"/>
        </w:rPr>
        <w:t xml:space="preserve">the </w:t>
      </w:r>
      <w:r w:rsidDel="00000000" w:rsidR="00000000" w:rsidRPr="00000000">
        <w:rPr>
          <w:i w:val="1"/>
          <w:sz w:val="22"/>
          <w:szCs w:val="22"/>
          <w:rtl w:val="0"/>
        </w:rPr>
        <w:t xml:space="preserve">option </w:t>
      </w:r>
      <w:r w:rsidDel="00000000" w:rsidR="00000000" w:rsidRPr="00000000">
        <w:rPr>
          <w:sz w:val="22"/>
          <w:szCs w:val="22"/>
          <w:rtl w:val="0"/>
        </w:rPr>
        <w:t xml:space="preserve">to make use of territorial tools to implement Cohesion Policy funding, Integrated Territorial Investments (ITIs) and Community-led Local Development (CLLD). </w:t>
      </w:r>
    </w:p>
    <w:p w:rsidR="00000000" w:rsidDel="00000000" w:rsidP="00000000" w:rsidRDefault="00000000" w:rsidRPr="00000000" w14:paraId="0000000C">
      <w:pPr>
        <w:widowControl w:val="0"/>
        <w:spacing w:before="128.349609375" w:line="245.35746574401855" w:lineRule="auto"/>
        <w:ind w:left="14.2999267578125" w:right="620.18310546875" w:firstLine="1.980133056640625"/>
        <w:rPr>
          <w:sz w:val="22"/>
          <w:szCs w:val="22"/>
        </w:rPr>
      </w:pPr>
      <w:r w:rsidDel="00000000" w:rsidR="00000000" w:rsidRPr="00000000">
        <w:rPr>
          <w:sz w:val="22"/>
          <w:szCs w:val="22"/>
          <w:rtl w:val="0"/>
        </w:rPr>
        <w:t xml:space="preserve">Both ITIs and CLLD can be implemented in urban areas as well as in other territories (see figure below). </w:t>
      </w:r>
    </w:p>
    <w:p w:rsidR="00000000" w:rsidDel="00000000" w:rsidP="00000000" w:rsidRDefault="00000000" w:rsidRPr="00000000" w14:paraId="0000000D">
      <w:pPr>
        <w:widowControl w:val="0"/>
        <w:spacing w:before="167.147216796875" w:line="206.3712215423584" w:lineRule="auto"/>
        <w:ind w:left="5970.435791015625" w:hanging="5942.6361083984375"/>
        <w:rPr>
          <w:sz w:val="18"/>
          <w:szCs w:val="18"/>
        </w:rPr>
      </w:pPr>
      <w:r w:rsidDel="00000000" w:rsidR="00000000" w:rsidRPr="00000000">
        <w:rPr>
          <w:sz w:val="22"/>
          <w:szCs w:val="22"/>
        </w:rPr>
        <w:drawing>
          <wp:inline distB="19050" distT="19050" distL="19050" distR="19050">
            <wp:extent cx="4991100" cy="3400425"/>
            <wp:effectExtent b="0" l="0" r="0" t="0"/>
            <wp:docPr id="4"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4991100" cy="3400425"/>
                    </a:xfrm>
                    <a:prstGeom prst="rect"/>
                    <a:ln/>
                  </pic:spPr>
                </pic:pic>
              </a:graphicData>
            </a:graphic>
          </wp:inline>
        </w:drawing>
      </w:r>
      <w:r w:rsidDel="00000000" w:rsidR="00000000" w:rsidRPr="00000000">
        <w:rPr>
          <w:sz w:val="18"/>
          <w:szCs w:val="18"/>
          <w:rtl w:val="0"/>
        </w:rPr>
        <w:t xml:space="preserve">Source: European Policies Research Centre </w:t>
      </w:r>
    </w:p>
    <w:p w:rsidR="00000000" w:rsidDel="00000000" w:rsidP="00000000" w:rsidRDefault="00000000" w:rsidRPr="00000000" w14:paraId="0000000E">
      <w:pPr>
        <w:widowControl w:val="0"/>
        <w:spacing w:before="437.8570556640625" w:line="240" w:lineRule="auto"/>
        <w:ind w:left="15.74005126953125" w:firstLine="0"/>
        <w:rPr>
          <w:b w:val="1"/>
          <w:sz w:val="26"/>
          <w:szCs w:val="26"/>
        </w:rPr>
      </w:pPr>
      <w:r w:rsidDel="00000000" w:rsidR="00000000" w:rsidRPr="00000000">
        <w:rPr>
          <w:b w:val="1"/>
          <w:sz w:val="26"/>
          <w:szCs w:val="26"/>
          <w:rtl w:val="0"/>
        </w:rPr>
        <w:t xml:space="preserve">Regulatory framework for ISTD 2014-20: references to territorial instruments </w:t>
      </w:r>
    </w:p>
    <w:p w:rsidR="00000000" w:rsidDel="00000000" w:rsidP="00000000" w:rsidRDefault="00000000" w:rsidRPr="00000000" w14:paraId="0000000F">
      <w:pPr>
        <w:widowControl w:val="0"/>
        <w:spacing w:before="133.1787109375" w:line="240" w:lineRule="auto"/>
        <w:ind w:left="16.280059814453125" w:firstLine="0"/>
        <w:rPr>
          <w:sz w:val="22"/>
          <w:szCs w:val="22"/>
        </w:rPr>
      </w:pPr>
      <w:r w:rsidDel="00000000" w:rsidR="00000000" w:rsidRPr="00000000">
        <w:rPr>
          <w:sz w:val="22"/>
          <w:szCs w:val="22"/>
          <w:rtl w:val="0"/>
        </w:rPr>
        <w:t xml:space="preserve">Reg. (EU) N° 1303/2013 Common Provisions Regulation (CPR) </w:t>
      </w:r>
    </w:p>
    <w:p w:rsidR="00000000" w:rsidDel="00000000" w:rsidP="00000000" w:rsidRDefault="00000000" w:rsidRPr="00000000" w14:paraId="00000010">
      <w:pPr>
        <w:widowControl w:val="0"/>
        <w:spacing w:before="13.2598876953125" w:line="245.35637855529785" w:lineRule="auto"/>
        <w:ind w:left="8.13995361328125" w:right="72.91015625" w:firstLine="6.15997314453125"/>
        <w:rPr>
          <w:color w:val="0000ff"/>
          <w:sz w:val="22"/>
          <w:szCs w:val="22"/>
        </w:rPr>
      </w:pPr>
      <w:r w:rsidDel="00000000" w:rsidR="00000000" w:rsidRPr="00000000">
        <w:rPr>
          <w:color w:val="0000ff"/>
          <w:sz w:val="22"/>
          <w:szCs w:val="22"/>
          <w:u w:val="single"/>
          <w:rtl w:val="0"/>
        </w:rPr>
        <w:t xml:space="preserve">https://digital-strategy.ec.europa.eu/en/library/regulation-eu-no-13032013-european-parliament-an</w:t>
      </w:r>
      <w:r w:rsidDel="00000000" w:rsidR="00000000" w:rsidRPr="00000000">
        <w:rPr>
          <w:color w:val="0000ff"/>
          <w:sz w:val="22"/>
          <w:szCs w:val="22"/>
          <w:rtl w:val="0"/>
        </w:rPr>
        <w:t xml:space="preserve"> </w:t>
      </w:r>
      <w:r w:rsidDel="00000000" w:rsidR="00000000" w:rsidRPr="00000000">
        <w:rPr>
          <w:color w:val="0000ff"/>
          <w:sz w:val="22"/>
          <w:szCs w:val="22"/>
          <w:u w:val="single"/>
          <w:rtl w:val="0"/>
        </w:rPr>
        <w:t xml:space="preserve">d-council</w:t>
      </w:r>
      <w:r w:rsidDel="00000000" w:rsidR="00000000" w:rsidRPr="00000000">
        <w:rPr>
          <w:color w:val="0000ff"/>
          <w:sz w:val="22"/>
          <w:szCs w:val="22"/>
          <w:rtl w:val="0"/>
        </w:rPr>
        <w:t xml:space="preserve"> </w:t>
      </w:r>
    </w:p>
    <w:p w:rsidR="00000000" w:rsidDel="00000000" w:rsidP="00000000" w:rsidRDefault="00000000" w:rsidRPr="00000000" w14:paraId="00000011">
      <w:pPr>
        <w:widowControl w:val="0"/>
        <w:spacing w:before="129.15008544921875" w:line="239.9040126800537" w:lineRule="auto"/>
        <w:ind w:left="12.20001220703125" w:right="485.21240234375" w:hanging="11.00006103515625"/>
        <w:rPr>
          <w:sz w:val="20"/>
          <w:szCs w:val="20"/>
        </w:rPr>
      </w:pPr>
      <w:r w:rsidDel="00000000" w:rsidR="00000000" w:rsidRPr="00000000">
        <w:rPr>
          <w:sz w:val="20"/>
          <w:szCs w:val="20"/>
          <w:rtl w:val="0"/>
        </w:rPr>
        <w:t xml:space="preserve">Article 15(2)(a)(i) - Content of the Partnership Agreement with regard to integrated actions for sustainable urban development </w:t>
      </w:r>
    </w:p>
    <w:p w:rsidR="00000000" w:rsidDel="00000000" w:rsidP="00000000" w:rsidRDefault="00000000" w:rsidRPr="00000000" w14:paraId="00000012">
      <w:pPr>
        <w:widowControl w:val="0"/>
        <w:spacing w:before="6.67999267578125" w:line="240" w:lineRule="auto"/>
        <w:ind w:left="1.199951171875" w:firstLine="0"/>
        <w:rPr>
          <w:sz w:val="20"/>
          <w:szCs w:val="20"/>
        </w:rPr>
      </w:pPr>
      <w:r w:rsidDel="00000000" w:rsidR="00000000" w:rsidRPr="00000000">
        <w:rPr>
          <w:sz w:val="20"/>
          <w:szCs w:val="20"/>
          <w:rtl w:val="0"/>
        </w:rPr>
        <w:t xml:space="preserve">Article 32 - Community-led local development </w:t>
      </w:r>
    </w:p>
    <w:p w:rsidR="00000000" w:rsidDel="00000000" w:rsidP="00000000" w:rsidRDefault="00000000" w:rsidRPr="00000000" w14:paraId="00000013">
      <w:pPr>
        <w:widowControl w:val="0"/>
        <w:spacing w:before="6.60003662109375" w:line="240" w:lineRule="auto"/>
        <w:ind w:left="1.199951171875" w:firstLine="0"/>
        <w:rPr>
          <w:sz w:val="20"/>
          <w:szCs w:val="20"/>
        </w:rPr>
      </w:pPr>
      <w:r w:rsidDel="00000000" w:rsidR="00000000" w:rsidRPr="00000000">
        <w:rPr>
          <w:sz w:val="20"/>
          <w:szCs w:val="20"/>
          <w:rtl w:val="0"/>
        </w:rPr>
        <w:t xml:space="preserve">Article 33 - Community-led local development strategies </w:t>
      </w:r>
    </w:p>
    <w:p w:rsidR="00000000" w:rsidDel="00000000" w:rsidP="00000000" w:rsidRDefault="00000000" w:rsidRPr="00000000" w14:paraId="00000014">
      <w:pPr>
        <w:widowControl w:val="0"/>
        <w:spacing w:before="6.60003662109375" w:line="240" w:lineRule="auto"/>
        <w:ind w:left="1.199951171875" w:firstLine="0"/>
        <w:rPr>
          <w:sz w:val="20"/>
          <w:szCs w:val="20"/>
        </w:rPr>
      </w:pPr>
      <w:r w:rsidDel="00000000" w:rsidR="00000000" w:rsidRPr="00000000">
        <w:rPr>
          <w:sz w:val="20"/>
          <w:szCs w:val="20"/>
          <w:rtl w:val="0"/>
        </w:rPr>
        <w:t xml:space="preserve">Article 34 - Local action groups </w:t>
      </w:r>
    </w:p>
    <w:p w:rsidR="00000000" w:rsidDel="00000000" w:rsidP="00000000" w:rsidRDefault="00000000" w:rsidRPr="00000000" w14:paraId="00000015">
      <w:pPr>
        <w:widowControl w:val="0"/>
        <w:spacing w:before="6.60003662109375" w:line="240" w:lineRule="auto"/>
        <w:ind w:left="1.199951171875" w:firstLine="0"/>
        <w:rPr>
          <w:sz w:val="20"/>
          <w:szCs w:val="20"/>
        </w:rPr>
      </w:pPr>
      <w:r w:rsidDel="00000000" w:rsidR="00000000" w:rsidRPr="00000000">
        <w:rPr>
          <w:sz w:val="20"/>
          <w:szCs w:val="20"/>
          <w:rtl w:val="0"/>
        </w:rPr>
        <w:t xml:space="preserve">Article 35 - Support from the ESI Funds for community-led local development </w:t>
      </w:r>
    </w:p>
    <w:p w:rsidR="00000000" w:rsidDel="00000000" w:rsidP="00000000" w:rsidRDefault="00000000" w:rsidRPr="00000000" w14:paraId="00000016">
      <w:pPr>
        <w:widowControl w:val="0"/>
        <w:spacing w:before="6.60003662109375" w:line="240" w:lineRule="auto"/>
        <w:ind w:left="1.199951171875" w:firstLine="0"/>
        <w:rPr>
          <w:sz w:val="20"/>
          <w:szCs w:val="20"/>
        </w:rPr>
      </w:pPr>
      <w:r w:rsidDel="00000000" w:rsidR="00000000" w:rsidRPr="00000000">
        <w:rPr>
          <w:sz w:val="20"/>
          <w:szCs w:val="20"/>
          <w:rtl w:val="0"/>
        </w:rPr>
        <w:t xml:space="preserve">Article 36 - Integrated territorial investment </w:t>
      </w:r>
    </w:p>
    <w:p w:rsidR="00000000" w:rsidDel="00000000" w:rsidP="00000000" w:rsidRDefault="00000000" w:rsidRPr="00000000" w14:paraId="00000017">
      <w:pPr>
        <w:widowControl w:val="0"/>
        <w:spacing w:before="6.60003662109375" w:line="239.9040126800537" w:lineRule="auto"/>
        <w:ind w:left="7.20001220703125" w:right="370.6329345703125" w:hanging="6.00006103515625"/>
        <w:rPr>
          <w:sz w:val="20"/>
          <w:szCs w:val="20"/>
        </w:rPr>
      </w:pPr>
      <w:r w:rsidDel="00000000" w:rsidR="00000000" w:rsidRPr="00000000">
        <w:rPr>
          <w:sz w:val="20"/>
          <w:szCs w:val="20"/>
          <w:rtl w:val="0"/>
        </w:rPr>
        <w:t xml:space="preserve">Annex I - Sections 3.3 (Integrated Territorial Strategies) and 6.5 (Arrangements for Addressing Key Territorial Challenges) </w:t>
      </w:r>
    </w:p>
    <w:p w:rsidR="00000000" w:rsidDel="00000000" w:rsidP="00000000" w:rsidRDefault="00000000" w:rsidRPr="00000000" w14:paraId="00000018">
      <w:pPr>
        <w:widowControl w:val="0"/>
        <w:spacing w:before="6.67999267578125" w:line="239.9040412902832" w:lineRule="auto"/>
        <w:ind w:left="7.20001220703125" w:right="309.6490478515625" w:hanging="6.00006103515625"/>
        <w:rPr>
          <w:sz w:val="20"/>
          <w:szCs w:val="20"/>
        </w:rPr>
      </w:pPr>
      <w:r w:rsidDel="00000000" w:rsidR="00000000" w:rsidRPr="00000000">
        <w:rPr>
          <w:sz w:val="20"/>
          <w:szCs w:val="20"/>
          <w:rtl w:val="0"/>
        </w:rPr>
        <w:t xml:space="preserve">Article 96(3)(b) - Content of operational programmes with regard to integrated actions for sustainable urban development</w:t>
      </w:r>
    </w:p>
    <w:p w:rsidR="00000000" w:rsidDel="00000000" w:rsidP="00000000" w:rsidRDefault="00000000" w:rsidRPr="00000000" w14:paraId="00000019">
      <w:pPr>
        <w:widowControl w:val="0"/>
        <w:spacing w:line="245.35637855529785" w:lineRule="auto"/>
        <w:ind w:left="14.2999267578125" w:right="1168.486328125" w:firstLine="1.980133056640625"/>
        <w:rPr>
          <w:color w:val="0000ff"/>
          <w:sz w:val="22"/>
          <w:szCs w:val="22"/>
        </w:rPr>
      </w:pPr>
      <w:r w:rsidDel="00000000" w:rsidR="00000000" w:rsidRPr="00000000">
        <w:rPr>
          <w:sz w:val="22"/>
          <w:szCs w:val="22"/>
          <w:rtl w:val="0"/>
        </w:rPr>
        <w:t xml:space="preserve">Reg. (EU) N° 1301/2013 European Regional Development Fund (ERDF) Regulation </w:t>
      </w:r>
      <w:r w:rsidDel="00000000" w:rsidR="00000000" w:rsidRPr="00000000">
        <w:rPr>
          <w:color w:val="0000ff"/>
          <w:sz w:val="22"/>
          <w:szCs w:val="22"/>
          <w:u w:val="single"/>
          <w:rtl w:val="0"/>
        </w:rPr>
        <w:t xml:space="preserve">https://eur-lex.europa.eu/legal-content/EN/TXT/PDF/?uri=CELEX:32013R1301&amp;from=EN</w:t>
      </w:r>
      <w:r w:rsidDel="00000000" w:rsidR="00000000" w:rsidRPr="00000000">
        <w:rPr>
          <w:color w:val="0000ff"/>
          <w:sz w:val="22"/>
          <w:szCs w:val="22"/>
          <w:rtl w:val="0"/>
        </w:rPr>
        <w:t xml:space="preserve"> </w:t>
      </w:r>
    </w:p>
    <w:p w:rsidR="00000000" w:rsidDel="00000000" w:rsidP="00000000" w:rsidRDefault="00000000" w:rsidRPr="00000000" w14:paraId="0000001A">
      <w:pPr>
        <w:widowControl w:val="0"/>
        <w:spacing w:before="129.149169921875" w:line="240" w:lineRule="auto"/>
        <w:rPr>
          <w:b w:val="1"/>
          <w:sz w:val="20"/>
          <w:szCs w:val="20"/>
        </w:rPr>
      </w:pPr>
      <w:r w:rsidDel="00000000" w:rsidR="00000000" w:rsidRPr="00000000">
        <w:rPr>
          <w:b w:val="1"/>
          <w:sz w:val="20"/>
          <w:szCs w:val="20"/>
          <w:rtl w:val="0"/>
        </w:rPr>
        <w:t xml:space="preserve">Article 7 - Sustainable urban development </w:t>
      </w:r>
    </w:p>
    <w:p w:rsidR="00000000" w:rsidDel="00000000" w:rsidP="00000000" w:rsidRDefault="00000000" w:rsidRPr="00000000" w14:paraId="0000001B">
      <w:pPr>
        <w:widowControl w:val="0"/>
        <w:spacing w:before="6.600341796875" w:line="240" w:lineRule="auto"/>
        <w:ind w:left="1.199951171875" w:firstLine="0"/>
        <w:rPr>
          <w:sz w:val="20"/>
          <w:szCs w:val="20"/>
        </w:rPr>
      </w:pPr>
      <w:r w:rsidDel="00000000" w:rsidR="00000000" w:rsidRPr="00000000">
        <w:rPr>
          <w:sz w:val="20"/>
          <w:szCs w:val="20"/>
          <w:rtl w:val="0"/>
        </w:rPr>
        <w:t xml:space="preserve">Article 8 - Innovative actions in the area of sustainable urban development </w:t>
      </w:r>
    </w:p>
    <w:p w:rsidR="00000000" w:rsidDel="00000000" w:rsidP="00000000" w:rsidRDefault="00000000" w:rsidRPr="00000000" w14:paraId="0000001C">
      <w:pPr>
        <w:widowControl w:val="0"/>
        <w:spacing w:before="6.600341796875" w:line="240" w:lineRule="auto"/>
        <w:ind w:left="1.199951171875" w:firstLine="0"/>
        <w:rPr>
          <w:sz w:val="20"/>
          <w:szCs w:val="20"/>
        </w:rPr>
      </w:pPr>
      <w:r w:rsidDel="00000000" w:rsidR="00000000" w:rsidRPr="00000000">
        <w:rPr>
          <w:sz w:val="20"/>
          <w:szCs w:val="20"/>
          <w:rtl w:val="0"/>
        </w:rPr>
        <w:t xml:space="preserve">Article 9 - Urban development network </w:t>
      </w:r>
    </w:p>
    <w:p w:rsidR="00000000" w:rsidDel="00000000" w:rsidP="00000000" w:rsidRDefault="00000000" w:rsidRPr="00000000" w14:paraId="0000001D">
      <w:pPr>
        <w:widowControl w:val="0"/>
        <w:spacing w:before="245.80078125" w:line="240" w:lineRule="auto"/>
        <w:ind w:left="16.280059814453125" w:firstLine="0"/>
        <w:rPr>
          <w:sz w:val="22"/>
          <w:szCs w:val="22"/>
        </w:rPr>
      </w:pPr>
      <w:r w:rsidDel="00000000" w:rsidR="00000000" w:rsidRPr="00000000">
        <w:rPr>
          <w:sz w:val="22"/>
          <w:szCs w:val="22"/>
          <w:rtl w:val="0"/>
        </w:rPr>
        <w:t xml:space="preserve">Reg. (EU) N° 1304/2013 European Social Fund (ESF) Regulation </w:t>
      </w:r>
    </w:p>
    <w:p w:rsidR="00000000" w:rsidDel="00000000" w:rsidP="00000000" w:rsidRDefault="00000000" w:rsidRPr="00000000" w14:paraId="0000001E">
      <w:pPr>
        <w:widowControl w:val="0"/>
        <w:spacing w:before="13.260498046875" w:line="355.1302242279053" w:lineRule="auto"/>
        <w:ind w:left="1.199951171875" w:right="1505.7452392578125" w:firstLine="13.0999755859375"/>
        <w:rPr>
          <w:sz w:val="20"/>
          <w:szCs w:val="20"/>
        </w:rPr>
      </w:pPr>
      <w:r w:rsidDel="00000000" w:rsidR="00000000" w:rsidRPr="00000000">
        <w:rPr>
          <w:color w:val="0000ff"/>
          <w:sz w:val="22"/>
          <w:szCs w:val="22"/>
          <w:u w:val="single"/>
          <w:rtl w:val="0"/>
        </w:rPr>
        <w:t xml:space="preserve">https://eur-lex.europa.eu/legal-content/EN/TXT/PDF/?uri=CELEX:32013R1304&amp;rid=3</w:t>
      </w:r>
      <w:r w:rsidDel="00000000" w:rsidR="00000000" w:rsidRPr="00000000">
        <w:rPr>
          <w:color w:val="0000ff"/>
          <w:sz w:val="22"/>
          <w:szCs w:val="22"/>
          <w:rtl w:val="0"/>
        </w:rPr>
        <w:t xml:space="preserve"> </w:t>
      </w:r>
      <w:r w:rsidDel="00000000" w:rsidR="00000000" w:rsidRPr="00000000">
        <w:rPr>
          <w:sz w:val="20"/>
          <w:szCs w:val="20"/>
          <w:rtl w:val="0"/>
        </w:rPr>
        <w:t xml:space="preserve">Article 12 - Specific provisions on the treatment of particular territorial features </w:t>
      </w:r>
    </w:p>
    <w:p w:rsidR="00000000" w:rsidDel="00000000" w:rsidP="00000000" w:rsidRDefault="00000000" w:rsidRPr="00000000" w14:paraId="0000001F">
      <w:pPr>
        <w:widowControl w:val="0"/>
        <w:spacing w:before="136.923828125" w:line="240" w:lineRule="auto"/>
        <w:ind w:left="16.280059814453125" w:firstLine="0"/>
        <w:rPr>
          <w:sz w:val="22"/>
          <w:szCs w:val="22"/>
        </w:rPr>
      </w:pPr>
      <w:r w:rsidDel="00000000" w:rsidR="00000000" w:rsidRPr="00000000">
        <w:rPr>
          <w:sz w:val="22"/>
          <w:szCs w:val="22"/>
          <w:rtl w:val="0"/>
        </w:rPr>
        <w:t xml:space="preserve">Reg. (EU) N° 1299/2013 European Territorial Cooperation (ETC) Regulation </w:t>
      </w:r>
    </w:p>
    <w:p w:rsidR="00000000" w:rsidDel="00000000" w:rsidP="00000000" w:rsidRDefault="00000000" w:rsidRPr="00000000" w14:paraId="00000020">
      <w:pPr>
        <w:widowControl w:val="0"/>
        <w:spacing w:before="13.260498046875" w:line="355.1302242279053" w:lineRule="auto"/>
        <w:ind w:left="1.199951171875" w:right="1046.025390625" w:firstLine="13.0999755859375"/>
        <w:rPr>
          <w:sz w:val="20"/>
          <w:szCs w:val="20"/>
        </w:rPr>
      </w:pPr>
      <w:r w:rsidDel="00000000" w:rsidR="00000000" w:rsidRPr="00000000">
        <w:rPr>
          <w:color w:val="0000ff"/>
          <w:sz w:val="22"/>
          <w:szCs w:val="22"/>
          <w:u w:val="single"/>
          <w:rtl w:val="0"/>
        </w:rPr>
        <w:t xml:space="preserve">https://eur-lex.europa.eu/LexUriServ/LexUriServ.do?uri=OJ:L:2013:347:0259:0280:En:PDF</w:t>
      </w:r>
      <w:r w:rsidDel="00000000" w:rsidR="00000000" w:rsidRPr="00000000">
        <w:rPr>
          <w:color w:val="0000ff"/>
          <w:sz w:val="22"/>
          <w:szCs w:val="22"/>
          <w:rtl w:val="0"/>
        </w:rPr>
        <w:t xml:space="preserve"> </w:t>
      </w:r>
      <w:r w:rsidDel="00000000" w:rsidR="00000000" w:rsidRPr="00000000">
        <w:rPr>
          <w:sz w:val="20"/>
          <w:szCs w:val="20"/>
          <w:rtl w:val="0"/>
        </w:rPr>
        <w:t xml:space="preserve">Article 2(3)(b) - Exchange of experience on sustainable urban development </w:t>
      </w:r>
    </w:p>
    <w:p w:rsidR="00000000" w:rsidDel="00000000" w:rsidP="00000000" w:rsidRDefault="00000000" w:rsidRPr="00000000" w14:paraId="00000021">
      <w:pPr>
        <w:widowControl w:val="0"/>
        <w:spacing w:before="450.323486328125" w:line="240" w:lineRule="auto"/>
        <w:ind w:left="7.9400634765625" w:firstLine="0"/>
        <w:rPr>
          <w:b w:val="1"/>
          <w:sz w:val="26"/>
          <w:szCs w:val="26"/>
        </w:rPr>
      </w:pPr>
      <w:r w:rsidDel="00000000" w:rsidR="00000000" w:rsidRPr="00000000">
        <w:rPr>
          <w:b w:val="1"/>
          <w:sz w:val="26"/>
          <w:szCs w:val="26"/>
          <w:rtl w:val="0"/>
        </w:rPr>
        <w:t xml:space="preserve">Cohesion Policy and territorial instruments - 2021-27 </w:t>
      </w:r>
    </w:p>
    <w:p w:rsidR="00000000" w:rsidDel="00000000" w:rsidP="00000000" w:rsidRDefault="00000000" w:rsidRPr="00000000" w14:paraId="00000022">
      <w:pPr>
        <w:widowControl w:val="0"/>
        <w:spacing w:before="133.179931640625" w:line="245.35637855529785" w:lineRule="auto"/>
        <w:ind w:left="7.700042724609375" w:right="190.0634765625" w:firstLine="8.58001708984375"/>
        <w:rPr>
          <w:sz w:val="22"/>
          <w:szCs w:val="22"/>
        </w:rPr>
      </w:pPr>
      <w:r w:rsidDel="00000000" w:rsidR="00000000" w:rsidRPr="00000000">
        <w:rPr>
          <w:sz w:val="22"/>
          <w:szCs w:val="22"/>
          <w:rtl w:val="0"/>
        </w:rPr>
        <w:t xml:space="preserve">In 2021-27, the new Priority Objective 5 “A Europe closer to citizens” will be focusing on sustainable and integrated development of all types of territories and local initiatives. The current approach to ITIs and CLLD will be largely continued, with an increased minimum allocation to urban areas of 8%. </w:t>
      </w:r>
    </w:p>
    <w:p w:rsidR="00000000" w:rsidDel="00000000" w:rsidP="00000000" w:rsidRDefault="00000000" w:rsidRPr="00000000" w14:paraId="00000023">
      <w:pPr>
        <w:widowControl w:val="0"/>
        <w:spacing w:before="126.75048828125" w:line="240" w:lineRule="auto"/>
        <w:ind w:left="15.74005126953125" w:firstLine="0"/>
        <w:rPr>
          <w:b w:val="1"/>
          <w:sz w:val="26"/>
          <w:szCs w:val="26"/>
        </w:rPr>
      </w:pPr>
      <w:r w:rsidDel="00000000" w:rsidR="00000000" w:rsidRPr="00000000">
        <w:rPr>
          <w:b w:val="1"/>
          <w:sz w:val="26"/>
          <w:szCs w:val="26"/>
          <w:rtl w:val="0"/>
        </w:rPr>
        <w:t xml:space="preserve">Regulatory framework for ISTD 2021-27: references to territorial instruments </w:t>
      </w:r>
    </w:p>
    <w:p w:rsidR="00000000" w:rsidDel="00000000" w:rsidP="00000000" w:rsidRDefault="00000000" w:rsidRPr="00000000" w14:paraId="00000024">
      <w:pPr>
        <w:widowControl w:val="0"/>
        <w:spacing w:before="133.179931640625" w:line="240" w:lineRule="auto"/>
        <w:ind w:left="16.280059814453125" w:firstLine="0"/>
        <w:rPr>
          <w:sz w:val="22"/>
          <w:szCs w:val="22"/>
        </w:rPr>
      </w:pPr>
      <w:r w:rsidDel="00000000" w:rsidR="00000000" w:rsidRPr="00000000">
        <w:rPr>
          <w:sz w:val="22"/>
          <w:szCs w:val="22"/>
          <w:rtl w:val="0"/>
        </w:rPr>
        <w:t xml:space="preserve">Reg. (EU) N° 2021/1060 Common Provisions Regulation (CPR) </w:t>
      </w:r>
    </w:p>
    <w:p w:rsidR="00000000" w:rsidDel="00000000" w:rsidP="00000000" w:rsidRDefault="00000000" w:rsidRPr="00000000" w14:paraId="00000025">
      <w:pPr>
        <w:widowControl w:val="0"/>
        <w:spacing w:before="13.2598876953125" w:line="240" w:lineRule="auto"/>
        <w:ind w:left="14.2999267578125" w:firstLine="0"/>
        <w:rPr>
          <w:color w:val="1155cc"/>
          <w:sz w:val="22"/>
          <w:szCs w:val="22"/>
        </w:rPr>
      </w:pPr>
      <w:r w:rsidDel="00000000" w:rsidR="00000000" w:rsidRPr="00000000">
        <w:rPr>
          <w:color w:val="1155cc"/>
          <w:sz w:val="22"/>
          <w:szCs w:val="22"/>
          <w:u w:val="single"/>
          <w:rtl w:val="0"/>
        </w:rPr>
        <w:t xml:space="preserve">https://eur-lex.europa.eu/legal-content/EN/TXT/?uri=CELEX:32021R1060</w:t>
      </w:r>
      <w:r w:rsidDel="00000000" w:rsidR="00000000" w:rsidRPr="00000000">
        <w:rPr>
          <w:color w:val="1155cc"/>
          <w:sz w:val="22"/>
          <w:szCs w:val="22"/>
          <w:rtl w:val="0"/>
        </w:rPr>
        <w:t xml:space="preserve"> </w:t>
      </w:r>
    </w:p>
    <w:p w:rsidR="00000000" w:rsidDel="00000000" w:rsidP="00000000" w:rsidRDefault="00000000" w:rsidRPr="00000000" w14:paraId="00000026">
      <w:pPr>
        <w:widowControl w:val="0"/>
        <w:spacing w:before="134.06005859375" w:line="240" w:lineRule="auto"/>
        <w:ind w:left="1.199951171875" w:firstLine="0"/>
        <w:rPr>
          <w:sz w:val="20"/>
          <w:szCs w:val="20"/>
        </w:rPr>
      </w:pPr>
      <w:r w:rsidDel="00000000" w:rsidR="00000000" w:rsidRPr="00000000">
        <w:rPr>
          <w:sz w:val="20"/>
          <w:szCs w:val="20"/>
          <w:rtl w:val="0"/>
        </w:rPr>
        <w:t xml:space="preserve">Article 28 - Integrated territorial development </w:t>
      </w:r>
    </w:p>
    <w:p w:rsidR="00000000" w:rsidDel="00000000" w:rsidP="00000000" w:rsidRDefault="00000000" w:rsidRPr="00000000" w14:paraId="00000027">
      <w:pPr>
        <w:widowControl w:val="0"/>
        <w:spacing w:before="6.5997314453125" w:line="240" w:lineRule="auto"/>
        <w:ind w:left="1.199951171875" w:firstLine="0"/>
        <w:rPr>
          <w:sz w:val="20"/>
          <w:szCs w:val="20"/>
        </w:rPr>
      </w:pPr>
      <w:r w:rsidDel="00000000" w:rsidR="00000000" w:rsidRPr="00000000">
        <w:rPr>
          <w:sz w:val="20"/>
          <w:szCs w:val="20"/>
          <w:rtl w:val="0"/>
        </w:rPr>
        <w:t xml:space="preserve">Article 29 - Territorial strategies </w:t>
      </w:r>
    </w:p>
    <w:p w:rsidR="00000000" w:rsidDel="00000000" w:rsidP="00000000" w:rsidRDefault="00000000" w:rsidRPr="00000000" w14:paraId="00000028">
      <w:pPr>
        <w:widowControl w:val="0"/>
        <w:spacing w:before="6.5997314453125" w:line="240" w:lineRule="auto"/>
        <w:ind w:left="1.199951171875" w:firstLine="0"/>
        <w:rPr>
          <w:sz w:val="20"/>
          <w:szCs w:val="20"/>
        </w:rPr>
      </w:pPr>
      <w:r w:rsidDel="00000000" w:rsidR="00000000" w:rsidRPr="00000000">
        <w:rPr>
          <w:sz w:val="20"/>
          <w:szCs w:val="20"/>
          <w:rtl w:val="0"/>
        </w:rPr>
        <w:t xml:space="preserve">Article 30 - Integrated territorial investment </w:t>
      </w:r>
    </w:p>
    <w:p w:rsidR="00000000" w:rsidDel="00000000" w:rsidP="00000000" w:rsidRDefault="00000000" w:rsidRPr="00000000" w14:paraId="00000029">
      <w:pPr>
        <w:widowControl w:val="0"/>
        <w:spacing w:before="6.5997314453125" w:line="240" w:lineRule="auto"/>
        <w:ind w:left="1.199951171875" w:firstLine="0"/>
        <w:rPr>
          <w:sz w:val="20"/>
          <w:szCs w:val="20"/>
        </w:rPr>
      </w:pPr>
      <w:r w:rsidDel="00000000" w:rsidR="00000000" w:rsidRPr="00000000">
        <w:rPr>
          <w:sz w:val="20"/>
          <w:szCs w:val="20"/>
          <w:rtl w:val="0"/>
        </w:rPr>
        <w:t xml:space="preserve">Article 31 - Community-led local development </w:t>
      </w:r>
    </w:p>
    <w:p w:rsidR="00000000" w:rsidDel="00000000" w:rsidP="00000000" w:rsidRDefault="00000000" w:rsidRPr="00000000" w14:paraId="0000002A">
      <w:pPr>
        <w:widowControl w:val="0"/>
        <w:spacing w:before="6.5997314453125" w:line="240" w:lineRule="auto"/>
        <w:ind w:left="1.199951171875" w:firstLine="0"/>
        <w:rPr>
          <w:sz w:val="20"/>
          <w:szCs w:val="20"/>
        </w:rPr>
      </w:pPr>
      <w:r w:rsidDel="00000000" w:rsidR="00000000" w:rsidRPr="00000000">
        <w:rPr>
          <w:sz w:val="20"/>
          <w:szCs w:val="20"/>
          <w:rtl w:val="0"/>
        </w:rPr>
        <w:t xml:space="preserve">Article 32 - Community-led local development strategies </w:t>
      </w:r>
    </w:p>
    <w:p w:rsidR="00000000" w:rsidDel="00000000" w:rsidP="00000000" w:rsidRDefault="00000000" w:rsidRPr="00000000" w14:paraId="0000002B">
      <w:pPr>
        <w:widowControl w:val="0"/>
        <w:spacing w:before="6.5997314453125" w:line="240" w:lineRule="auto"/>
        <w:ind w:left="1.199951171875" w:firstLine="0"/>
        <w:rPr>
          <w:sz w:val="20"/>
          <w:szCs w:val="20"/>
        </w:rPr>
      </w:pPr>
      <w:r w:rsidDel="00000000" w:rsidR="00000000" w:rsidRPr="00000000">
        <w:rPr>
          <w:sz w:val="20"/>
          <w:szCs w:val="20"/>
          <w:rtl w:val="0"/>
        </w:rPr>
        <w:t xml:space="preserve">Article 33 - Local action groups </w:t>
      </w:r>
    </w:p>
    <w:p w:rsidR="00000000" w:rsidDel="00000000" w:rsidP="00000000" w:rsidRDefault="00000000" w:rsidRPr="00000000" w14:paraId="0000002C">
      <w:pPr>
        <w:widowControl w:val="0"/>
        <w:spacing w:before="6.5997314453125" w:line="240" w:lineRule="auto"/>
        <w:ind w:left="1.199951171875" w:firstLine="0"/>
        <w:rPr>
          <w:sz w:val="20"/>
          <w:szCs w:val="20"/>
        </w:rPr>
      </w:pPr>
      <w:r w:rsidDel="00000000" w:rsidR="00000000" w:rsidRPr="00000000">
        <w:rPr>
          <w:sz w:val="20"/>
          <w:szCs w:val="20"/>
          <w:rtl w:val="0"/>
        </w:rPr>
        <w:t xml:space="preserve">Article 34 - Support from Funds for community-led local development </w:t>
      </w:r>
    </w:p>
    <w:p w:rsidR="00000000" w:rsidDel="00000000" w:rsidP="00000000" w:rsidRDefault="00000000" w:rsidRPr="00000000" w14:paraId="0000002D">
      <w:pPr>
        <w:widowControl w:val="0"/>
        <w:spacing w:before="245.799560546875" w:line="245.35637855529785" w:lineRule="auto"/>
        <w:ind w:left="14.2999267578125" w:right="73.6328125" w:firstLine="1.980133056640625"/>
        <w:rPr>
          <w:color w:val="1155cc"/>
          <w:sz w:val="22"/>
          <w:szCs w:val="22"/>
        </w:rPr>
      </w:pPr>
      <w:r w:rsidDel="00000000" w:rsidR="00000000" w:rsidRPr="00000000">
        <w:rPr>
          <w:sz w:val="22"/>
          <w:szCs w:val="22"/>
          <w:rtl w:val="0"/>
        </w:rPr>
        <w:t xml:space="preserve">Reg. (EU) N° 2021/1058 European Regional Development Fund (ERDF) and Cohesion Fund Regulation </w:t>
      </w:r>
      <w:r w:rsidDel="00000000" w:rsidR="00000000" w:rsidRPr="00000000">
        <w:rPr>
          <w:color w:val="1155cc"/>
          <w:sz w:val="22"/>
          <w:szCs w:val="22"/>
          <w:u w:val="single"/>
          <w:rtl w:val="0"/>
        </w:rPr>
        <w:t xml:space="preserve">https://eur-lex.europa.eu/legal-content/EN/TXT/?uri=CELEX:32021R1058</w:t>
      </w:r>
      <w:r w:rsidDel="00000000" w:rsidR="00000000" w:rsidRPr="00000000">
        <w:rPr>
          <w:color w:val="1155cc"/>
          <w:sz w:val="22"/>
          <w:szCs w:val="22"/>
          <w:rtl w:val="0"/>
        </w:rPr>
        <w:t xml:space="preserve"> </w:t>
      </w:r>
    </w:p>
    <w:p w:rsidR="00000000" w:rsidDel="00000000" w:rsidP="00000000" w:rsidRDefault="00000000" w:rsidRPr="00000000" w14:paraId="0000002E">
      <w:pPr>
        <w:widowControl w:val="0"/>
        <w:spacing w:before="129.150390625" w:line="240" w:lineRule="auto"/>
        <w:ind w:left="1.199951171875" w:firstLine="0"/>
        <w:rPr>
          <w:sz w:val="20"/>
          <w:szCs w:val="20"/>
        </w:rPr>
      </w:pPr>
      <w:r w:rsidDel="00000000" w:rsidR="00000000" w:rsidRPr="00000000">
        <w:rPr>
          <w:sz w:val="20"/>
          <w:szCs w:val="20"/>
          <w:rtl w:val="0"/>
        </w:rPr>
        <w:t xml:space="preserve">Article 9 - Integrated territorial development </w:t>
      </w:r>
    </w:p>
    <w:p w:rsidR="00000000" w:rsidDel="00000000" w:rsidP="00000000" w:rsidRDefault="00000000" w:rsidRPr="00000000" w14:paraId="0000002F">
      <w:pPr>
        <w:widowControl w:val="0"/>
        <w:spacing w:before="6.5997314453125" w:line="240" w:lineRule="auto"/>
        <w:ind w:left="1.199951171875" w:firstLine="0"/>
        <w:rPr>
          <w:sz w:val="20"/>
          <w:szCs w:val="20"/>
        </w:rPr>
      </w:pPr>
      <w:r w:rsidDel="00000000" w:rsidR="00000000" w:rsidRPr="00000000">
        <w:rPr>
          <w:sz w:val="20"/>
          <w:szCs w:val="20"/>
          <w:rtl w:val="0"/>
        </w:rPr>
        <w:t xml:space="preserve">Article 10 - Support for disadvantaged areas </w:t>
      </w:r>
    </w:p>
    <w:p w:rsidR="00000000" w:rsidDel="00000000" w:rsidP="00000000" w:rsidRDefault="00000000" w:rsidRPr="00000000" w14:paraId="00000030">
      <w:pPr>
        <w:widowControl w:val="0"/>
        <w:spacing w:before="6.5997314453125" w:line="240" w:lineRule="auto"/>
        <w:ind w:left="1.199951171875" w:firstLine="0"/>
        <w:rPr>
          <w:sz w:val="20"/>
          <w:szCs w:val="20"/>
        </w:rPr>
      </w:pPr>
      <w:r w:rsidDel="00000000" w:rsidR="00000000" w:rsidRPr="00000000">
        <w:rPr>
          <w:sz w:val="20"/>
          <w:szCs w:val="20"/>
          <w:rtl w:val="0"/>
        </w:rPr>
        <w:t xml:space="preserve">Article 11 - Sustainable urban development </w:t>
      </w:r>
    </w:p>
    <w:p w:rsidR="00000000" w:rsidDel="00000000" w:rsidP="00000000" w:rsidRDefault="00000000" w:rsidRPr="00000000" w14:paraId="00000031">
      <w:pPr>
        <w:widowControl w:val="0"/>
        <w:spacing w:before="635.799560546875" w:line="245.35637855529785" w:lineRule="auto"/>
        <w:ind w:left="7.700042724609375" w:right="340.3338623046875" w:firstLine="8.58001708984375"/>
        <w:rPr>
          <w:sz w:val="22"/>
          <w:szCs w:val="22"/>
        </w:rPr>
      </w:pPr>
      <w:r w:rsidDel="00000000" w:rsidR="00000000" w:rsidRPr="00000000">
        <w:rPr>
          <w:sz w:val="22"/>
          <w:szCs w:val="22"/>
          <w:rtl w:val="0"/>
        </w:rPr>
        <w:t xml:space="preserve">Reg. (EU) No 2021/1059 European Territorial Cooperation goal (INTERREG) supported by the ERDF and external financing instruments </w:t>
      </w:r>
    </w:p>
    <w:p w:rsidR="00000000" w:rsidDel="00000000" w:rsidP="00000000" w:rsidRDefault="00000000" w:rsidRPr="00000000" w14:paraId="00000032">
      <w:pPr>
        <w:widowControl w:val="0"/>
        <w:spacing w:before="8.34991455078125" w:line="240" w:lineRule="auto"/>
        <w:ind w:left="14.2999267578125" w:firstLine="0"/>
        <w:rPr>
          <w:color w:val="1155cc"/>
          <w:sz w:val="22"/>
          <w:szCs w:val="22"/>
        </w:rPr>
      </w:pPr>
      <w:r w:rsidDel="00000000" w:rsidR="00000000" w:rsidRPr="00000000">
        <w:rPr>
          <w:color w:val="1155cc"/>
          <w:sz w:val="22"/>
          <w:szCs w:val="22"/>
          <w:u w:val="single"/>
          <w:rtl w:val="0"/>
        </w:rPr>
        <w:t xml:space="preserve">https://eur-lex.europa.eu/legal-content/EN/TXT/?uri=CELEX%3A32021R1059</w:t>
      </w:r>
      <w:r w:rsidDel="00000000" w:rsidR="00000000" w:rsidRPr="00000000">
        <w:rPr>
          <w:color w:val="1155cc"/>
          <w:sz w:val="22"/>
          <w:szCs w:val="22"/>
          <w:rtl w:val="0"/>
        </w:rPr>
        <w:t xml:space="preserve"> </w:t>
      </w:r>
    </w:p>
    <w:p w:rsidR="00000000" w:rsidDel="00000000" w:rsidP="00000000" w:rsidRDefault="00000000" w:rsidRPr="00000000" w14:paraId="00000033">
      <w:pPr>
        <w:widowControl w:val="0"/>
        <w:spacing w:before="284.06005859375" w:line="240" w:lineRule="auto"/>
        <w:ind w:left="1.199951171875" w:firstLine="0"/>
        <w:rPr>
          <w:sz w:val="20"/>
          <w:szCs w:val="20"/>
        </w:rPr>
      </w:pPr>
      <w:r w:rsidDel="00000000" w:rsidR="00000000" w:rsidRPr="00000000">
        <w:rPr>
          <w:sz w:val="20"/>
          <w:szCs w:val="20"/>
          <w:rtl w:val="0"/>
        </w:rPr>
        <w:t xml:space="preserve">Article 20 - Integrated territorial development </w:t>
      </w:r>
    </w:p>
    <w:p w:rsidR="00000000" w:rsidDel="00000000" w:rsidP="00000000" w:rsidRDefault="00000000" w:rsidRPr="00000000" w14:paraId="00000034">
      <w:pPr>
        <w:widowControl w:val="0"/>
        <w:spacing w:before="6.60003662109375" w:line="240" w:lineRule="auto"/>
        <w:ind w:left="1.199951171875" w:firstLine="0"/>
        <w:rPr>
          <w:sz w:val="20"/>
          <w:szCs w:val="20"/>
        </w:rPr>
      </w:pPr>
      <w:r w:rsidDel="00000000" w:rsidR="00000000" w:rsidRPr="00000000">
        <w:rPr>
          <w:sz w:val="20"/>
          <w:szCs w:val="20"/>
          <w:rtl w:val="0"/>
        </w:rPr>
        <w:t xml:space="preserve">Article 21 - Community-led local development</w:t>
      </w:r>
    </w:p>
    <w:p w:rsidR="00000000" w:rsidDel="00000000" w:rsidP="00000000" w:rsidRDefault="00000000" w:rsidRPr="00000000" w14:paraId="00000035">
      <w:pPr>
        <w:rPr>
          <w:rFonts w:ascii="Open Sans" w:cs="Open Sans" w:eastAsia="Open Sans" w:hAnsi="Open Sans"/>
          <w:sz w:val="19"/>
          <w:szCs w:val="19"/>
        </w:rPr>
      </w:pPr>
      <w:r w:rsidDel="00000000" w:rsidR="00000000" w:rsidRPr="00000000">
        <w:rPr>
          <w:rtl w:val="0"/>
        </w:rPr>
      </w:r>
    </w:p>
    <w:sectPr>
      <w:headerReference r:id="rId8" w:type="default"/>
      <w:footerReference r:id="rId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7">
    <w:pPr>
      <w:spacing w:after="0" w:line="240" w:lineRule="auto"/>
      <w:jc w:val="center"/>
      <w:rPr>
        <w:sz w:val="14"/>
        <w:szCs w:val="14"/>
      </w:rPr>
    </w:pPr>
    <w:r w:rsidDel="00000000" w:rsidR="00000000" w:rsidRPr="00000000">
      <w:rPr>
        <w:b w:val="1"/>
        <w:sz w:val="14"/>
        <w:szCs w:val="14"/>
        <w:rtl w:val="0"/>
      </w:rPr>
      <w:t xml:space="preserve">EU INTEGRA programme  financed by the European Union</w:t>
    </w:r>
    <w:r w:rsidDel="00000000" w:rsidR="00000000" w:rsidRPr="00000000">
      <w:rPr>
        <w:sz w:val="14"/>
        <w:szCs w:val="14"/>
        <w:rtl w:val="0"/>
      </w:rPr>
      <w:t xml:space="preserve"> is implemented by the SCTM and UNOPS in cooperation with the Ministry of European Integration.</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6">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-962022</wp:posOffset>
          </wp:positionH>
          <wp:positionV relativeFrom="paragraph">
            <wp:posOffset>-295273</wp:posOffset>
          </wp:positionV>
          <wp:extent cx="7767638" cy="941814"/>
          <wp:effectExtent b="0" l="0" r="0" t="0"/>
          <wp:wrapTopAndBottom distB="114300" distT="114300"/>
          <wp:docPr id="3"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7767638" cy="941814"/>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1"/>
        <w:szCs w:val="21"/>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shd w:fill="ffffff" w:val="clear"/>
      <w:spacing w:line="276" w:lineRule="auto"/>
      <w:jc w:val="both"/>
    </w:pPr>
    <w:rPr>
      <w:rFonts w:ascii="Montserrat SemiBold" w:cs="Montserrat SemiBold" w:eastAsia="Montserrat SemiBold" w:hAnsi="Montserrat SemiBold"/>
      <w:color w:val="073763"/>
      <w:sz w:val="28"/>
      <w:szCs w:val="28"/>
    </w:rPr>
  </w:style>
  <w:style w:type="paragraph" w:styleId="Heading3">
    <w:name w:val="heading 3"/>
    <w:basedOn w:val="Normal"/>
    <w:next w:val="Normal"/>
    <w:pPr>
      <w:keepNext w:val="1"/>
      <w:keepLines w:val="1"/>
      <w:shd w:fill="ffffff" w:val="clear"/>
      <w:spacing w:line="276" w:lineRule="auto"/>
    </w:pPr>
    <w:rPr>
      <w:rFonts w:ascii="Open Sans Medium" w:cs="Open Sans Medium" w:eastAsia="Open Sans Medium" w:hAnsi="Open Sans Medium"/>
      <w:color w:val="1c4587"/>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88" w:lineRule="auto"/>
      <w:ind w:right="-330"/>
      <w:jc w:val="both"/>
    </w:pPr>
    <w:rPr>
      <w:rFonts w:ascii="Montserrat" w:cs="Montserrat" w:eastAsia="Montserrat" w:hAnsi="Montserrat"/>
      <w:b w:val="1"/>
      <w:color w:val="666666"/>
      <w:sz w:val="30"/>
      <w:szCs w:val="30"/>
    </w:rPr>
  </w:style>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shd w:fill="ffffff" w:val="clear"/>
      <w:spacing w:line="276" w:lineRule="auto"/>
      <w:jc w:val="both"/>
    </w:pPr>
    <w:rPr>
      <w:rFonts w:ascii="Montserrat SemiBold" w:cs="Montserrat SemiBold" w:eastAsia="Montserrat SemiBold" w:hAnsi="Montserrat SemiBold"/>
      <w:color w:val="073763"/>
      <w:sz w:val="28"/>
      <w:szCs w:val="28"/>
    </w:rPr>
  </w:style>
  <w:style w:type="paragraph" w:styleId="Heading3">
    <w:name w:val="heading 3"/>
    <w:basedOn w:val="Normal"/>
    <w:next w:val="Normal"/>
    <w:pPr>
      <w:keepNext w:val="1"/>
      <w:keepLines w:val="1"/>
      <w:shd w:fill="ffffff" w:val="clear"/>
      <w:spacing w:line="276" w:lineRule="auto"/>
    </w:pPr>
    <w:rPr>
      <w:rFonts w:ascii="Open Sans Medium" w:cs="Open Sans Medium" w:eastAsia="Open Sans Medium" w:hAnsi="Open Sans Medium"/>
      <w:color w:val="1c4587"/>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88" w:lineRule="auto"/>
      <w:ind w:right="-330"/>
      <w:jc w:val="both"/>
    </w:pPr>
    <w:rPr>
      <w:rFonts w:ascii="Montserrat" w:cs="Montserrat" w:eastAsia="Montserrat" w:hAnsi="Montserrat"/>
      <w:b w:val="1"/>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OpenSansMedium-italic.ttf"/><Relationship Id="rId10" Type="http://schemas.openxmlformats.org/officeDocument/2006/relationships/font" Target="fonts/OpenSansMedium-bold.ttf"/><Relationship Id="rId13" Type="http://schemas.openxmlformats.org/officeDocument/2006/relationships/font" Target="fonts/OpenSans-regular.ttf"/><Relationship Id="rId12" Type="http://schemas.openxmlformats.org/officeDocument/2006/relationships/font" Target="fonts/OpenSansMedium-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OpenSansMedium-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70uJY+9lUd4Nu2WrAw/woJdEkQ==">CgMxLjAyDmgucDEzZHQ4cXl1YTVtMg5oLmMxaDNqZXFpOXBwdTIOaC5kNnFiYWtia3cxcGwyDmgudjEzbWlla2g5ejlrMg5oLjRyZXN2Z2Vlem93azgAciExeXdEM0Jkb3Z1OElTSFREUmNvV2VFQTZhSTF6aEpuaFk=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